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3"/>
        <w:spacing w:line="360" w:lineRule="auto"/>
        <w:jc w:val="both"/>
        <w:rPr>
          <w:rFonts w:hint="default" w:ascii="Times New Roman" w:eastAsia="宋体" w:cs="Times New Roman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ascii="Times New Roman" w:cs="Times New Roman"/>
          <w:sz w:val="21"/>
          <w:szCs w:val="21"/>
        </w:rPr>
        <w:t>证券代码：</w:t>
      </w:r>
      <w:r>
        <w:rPr>
          <w:rFonts w:hint="eastAsia" w:ascii="Times New Roman" w:cs="Times New Roman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        证券简称：</w:t>
      </w:r>
      <w:r>
        <w:rPr>
          <w:rFonts w:hint="eastAsia" w:ascii="Times New Roman" w:cs="Times New Roman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        公告编号：202</w:t>
      </w:r>
      <w:r>
        <w:rPr>
          <w:rFonts w:hint="eastAsia" w:ascii="Times New Roman" w:cs="Times New Roman"/>
          <w:sz w:val="21"/>
          <w:szCs w:val="21"/>
        </w:rPr>
        <w:t>3-0</w:t>
      </w:r>
      <w:r>
        <w:rPr>
          <w:rFonts w:hint="eastAsia" w:ascii="Times New Roman" w:cs="Times New Roman"/>
          <w:sz w:val="21"/>
          <w:szCs w:val="21"/>
          <w:lang w:val="en-US" w:eastAsia="zh-CN"/>
        </w:rPr>
        <w:t>59</w:t>
      </w:r>
    </w:p>
    <w:p>
      <w:pPr>
        <w:pStyle w:val="23"/>
        <w:spacing w:line="360" w:lineRule="auto"/>
        <w:jc w:val="both"/>
        <w:rPr>
          <w:rFonts w:hint="eastAsia" w:ascii="Times New Roman" w:cs="Times New Roman"/>
          <w:color w:val="auto"/>
          <w:sz w:val="21"/>
          <w:szCs w:val="21"/>
        </w:rPr>
      </w:pPr>
      <w:r>
        <w:rPr>
          <w:rFonts w:hint="eastAsia" w:ascii="Times New Roman"/>
          <w:sz w:val="21"/>
        </w:rPr>
        <w:t>债券代码：</w:t>
      </w:r>
      <w:r>
        <w:rPr>
          <w:rFonts w:ascii="Times New Roman"/>
          <w:sz w:val="21"/>
        </w:rPr>
        <w:t xml:space="preserve">128119              </w:t>
      </w:r>
      <w:r>
        <w:rPr>
          <w:rFonts w:hint="eastAsia" w:ascii="Times New Roman"/>
          <w:sz w:val="21"/>
        </w:rPr>
        <w:t>债券简称：龙大转债</w:t>
      </w:r>
    </w:p>
    <w:p>
      <w:pPr>
        <w:pStyle w:val="23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hint="eastAsia" w:ascii="Times New Roman" w:cs="Times New Roman"/>
          <w:sz w:val="21"/>
          <w:szCs w:val="21"/>
        </w:rPr>
        <w:t xml:space="preserve"> </w:t>
      </w:r>
    </w:p>
    <w:p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</w:t>
      </w:r>
      <w:r>
        <w:rPr>
          <w:rFonts w:hint="eastAsia"/>
          <w:b/>
          <w:color w:val="000000"/>
          <w:kern w:val="0"/>
          <w:sz w:val="28"/>
          <w:szCs w:val="28"/>
          <w:lang w:val="en-US" w:eastAsia="zh-CN"/>
        </w:rPr>
        <w:t>十</w:t>
      </w:r>
      <w:r>
        <w:rPr>
          <w:rFonts w:hint="eastAsia"/>
          <w:b/>
          <w:color w:val="000000"/>
          <w:kern w:val="0"/>
          <w:sz w:val="28"/>
          <w:szCs w:val="28"/>
        </w:rPr>
        <w:t>次会议决议公告</w:t>
      </w:r>
    </w:p>
    <w:p>
      <w:pPr>
        <w:spacing w:line="360" w:lineRule="auto"/>
        <w:rPr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监事会</w:t>
      </w:r>
      <w:r>
        <w:rPr>
          <w:sz w:val="24"/>
        </w:rPr>
        <w:t xml:space="preserve">全体成员保证信息披露内容的真实、准确和完整，没有虚假记载、误导性陈述或重大遗漏。  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</w:p>
    <w:p>
      <w:pPr>
        <w:spacing w:line="360" w:lineRule="auto"/>
        <w:ind w:firstLine="482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一、会议召开情况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山东龙大美食股份有限公司（以下简称“公司”）</w:t>
      </w:r>
      <w:r>
        <w:rPr>
          <w:rFonts w:hint="eastAsia" w:cs="楷体_GB2312-WinCharSetFFFF-H"/>
          <w:color w:val="000000"/>
          <w:kern w:val="0"/>
          <w:sz w:val="24"/>
        </w:rPr>
        <w:t>第五届监事会第</w:t>
      </w:r>
      <w:r>
        <w:rPr>
          <w:rFonts w:hint="eastAsia" w:cs="楷体_GB2312-WinCharSetFFFF-H"/>
          <w:color w:val="000000"/>
          <w:kern w:val="0"/>
          <w:sz w:val="24"/>
          <w:lang w:val="en-US" w:eastAsia="zh-CN"/>
        </w:rPr>
        <w:t>十</w:t>
      </w:r>
      <w:r>
        <w:rPr>
          <w:rFonts w:hint="eastAsia" w:cs="楷体_GB2312-WinCharSetFFFF-H"/>
          <w:color w:val="000000"/>
          <w:kern w:val="0"/>
          <w:sz w:val="24"/>
        </w:rPr>
        <w:t>次会议</w:t>
      </w:r>
      <w:r>
        <w:rPr>
          <w:rFonts w:hint="eastAsia" w:cs="宋体"/>
          <w:kern w:val="0"/>
          <w:sz w:val="24"/>
        </w:rPr>
        <w:t>于</w:t>
      </w:r>
      <w:r>
        <w:rPr>
          <w:kern w:val="0"/>
          <w:sz w:val="24"/>
        </w:rPr>
        <w:t>202</w:t>
      </w: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>年</w:t>
      </w:r>
      <w:r>
        <w:rPr>
          <w:rFonts w:hint="eastAsia"/>
          <w:kern w:val="0"/>
          <w:sz w:val="24"/>
          <w:lang w:val="en-US" w:eastAsia="zh-CN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  <w:lang w:val="en-US" w:eastAsia="zh-CN"/>
        </w:rPr>
        <w:t>14</w:t>
      </w:r>
      <w:r>
        <w:rPr>
          <w:rFonts w:hint="eastAsia"/>
          <w:kern w:val="0"/>
          <w:sz w:val="24"/>
        </w:rPr>
        <w:t>日</w:t>
      </w:r>
      <w:r>
        <w:rPr>
          <w:rFonts w:hint="eastAsia" w:cs="宋体"/>
          <w:kern w:val="0"/>
          <w:sz w:val="24"/>
        </w:rPr>
        <w:t>在</w:t>
      </w:r>
      <w:r>
        <w:rPr>
          <w:rFonts w:hint="eastAsia"/>
          <w:sz w:val="24"/>
        </w:rPr>
        <w:t>公司会议室以</w:t>
      </w:r>
      <w:r>
        <w:rPr>
          <w:rFonts w:hint="eastAsia"/>
          <w:kern w:val="0"/>
          <w:sz w:val="24"/>
        </w:rPr>
        <w:t>现场结合通讯</w:t>
      </w:r>
      <w:r>
        <w:rPr>
          <w:rFonts w:hint="eastAsia" w:cs="宋体"/>
          <w:sz w:val="24"/>
        </w:rPr>
        <w:t>的方式召开</w:t>
      </w:r>
      <w:r>
        <w:rPr>
          <w:rFonts w:hint="eastAsia" w:cs="宋体"/>
          <w:kern w:val="0"/>
          <w:sz w:val="24"/>
        </w:rPr>
        <w:t>。会议通知已于</w:t>
      </w:r>
      <w:r>
        <w:rPr>
          <w:kern w:val="0"/>
          <w:sz w:val="24"/>
        </w:rPr>
        <w:t>202</w:t>
      </w:r>
      <w:r>
        <w:rPr>
          <w:rFonts w:hint="eastAsia"/>
          <w:kern w:val="0"/>
          <w:sz w:val="24"/>
        </w:rPr>
        <w:t>3</w:t>
      </w:r>
      <w:r>
        <w:rPr>
          <w:kern w:val="0"/>
          <w:sz w:val="24"/>
        </w:rPr>
        <w:t>年</w:t>
      </w:r>
      <w:r>
        <w:rPr>
          <w:rFonts w:hint="eastAsia"/>
          <w:kern w:val="0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日</w:t>
      </w:r>
      <w:r>
        <w:rPr>
          <w:rFonts w:hint="eastAsia" w:cs="宋体"/>
          <w:kern w:val="0"/>
          <w:sz w:val="24"/>
        </w:rPr>
        <w:t>送达各位监事，本次会议应出席监事3人，实际出席监事3人，会议由公司监事会主席张玮女士召集和主持。本次会议的召集、召开程序符合《公司法》和《公司章程》的有关规定。</w:t>
      </w:r>
    </w:p>
    <w:p>
      <w:pPr>
        <w:spacing w:line="360" w:lineRule="auto"/>
        <w:ind w:firstLine="482" w:firstLineChars="200"/>
        <w:rPr>
          <w:rFonts w:hint="eastAsia"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二、会议审议情况</w:t>
      </w:r>
    </w:p>
    <w:p>
      <w:pPr>
        <w:spacing w:line="360" w:lineRule="auto"/>
        <w:ind w:firstLine="482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1、审议通过了</w:t>
      </w:r>
      <w:r>
        <w:rPr>
          <w:rFonts w:hint="eastAsia" w:cs="宋体"/>
          <w:b/>
          <w:sz w:val="24"/>
        </w:rPr>
        <w:t>《关于2023年度日常关联交易预计的议案》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具体内容详见公司在《中国证券报》《证券时报》《证券日报》《上海证券报》和巨潮资讯网（www.cninfo.com.cn）披露的《关于2023年度日常关联交易预计的公告》</w:t>
      </w:r>
      <w:r>
        <w:rPr>
          <w:rFonts w:hint="eastAsia" w:cs="宋体"/>
          <w:kern w:val="0"/>
          <w:sz w:val="24"/>
          <w:lang w:eastAsia="zh-CN"/>
        </w:rPr>
        <w:t>（</w:t>
      </w:r>
      <w:r>
        <w:rPr>
          <w:rFonts w:hint="eastAsia" w:cs="宋体"/>
          <w:kern w:val="0"/>
          <w:sz w:val="24"/>
          <w:lang w:val="en-US" w:eastAsia="zh-CN"/>
        </w:rPr>
        <w:t>公告编号2023-060）</w:t>
      </w:r>
      <w:r>
        <w:rPr>
          <w:rFonts w:hint="eastAsia" w:cs="宋体"/>
          <w:kern w:val="0"/>
          <w:sz w:val="24"/>
        </w:rPr>
        <w:t>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表决结果：同意3票，反对0票，弃权0票。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本议案尚需提交股东大会审议。</w:t>
      </w:r>
    </w:p>
    <w:p>
      <w:pPr>
        <w:spacing w:line="360" w:lineRule="auto"/>
        <w:ind w:firstLine="482" w:firstLineChars="200"/>
        <w:rPr>
          <w:rFonts w:hint="eastAsia" w:cs="宋体"/>
          <w:b/>
          <w:kern w:val="0"/>
          <w:sz w:val="24"/>
        </w:rPr>
      </w:pPr>
      <w:r>
        <w:rPr>
          <w:rFonts w:cs="宋体"/>
          <w:b/>
          <w:kern w:val="0"/>
          <w:sz w:val="24"/>
        </w:rPr>
        <w:t>2</w:t>
      </w:r>
      <w:r>
        <w:rPr>
          <w:rFonts w:hint="eastAsia" w:cs="宋体"/>
          <w:b/>
          <w:kern w:val="0"/>
          <w:sz w:val="24"/>
        </w:rPr>
        <w:t>、审议通过了</w:t>
      </w:r>
      <w:r>
        <w:rPr>
          <w:rFonts w:hint="eastAsia" w:cs="宋体"/>
          <w:b/>
          <w:sz w:val="24"/>
        </w:rPr>
        <w:t>《关于继续使用部分闲置募集资金暂时补充流动资金的议案》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具体内容详见公司在《中国证券报》《证券时报》《证券日报》《上海证券报》和巨潮资讯网（www.cninfo.com.cn）披露的《关于继续使用部分闲置募集资金暂时补充流动资金</w:t>
      </w:r>
      <w:r>
        <w:rPr>
          <w:rFonts w:hint="eastAsia" w:cs="宋体"/>
          <w:kern w:val="0"/>
          <w:sz w:val="24"/>
          <w:lang w:val="en-US" w:eastAsia="zh-CN"/>
        </w:rPr>
        <w:t>的公告</w:t>
      </w:r>
      <w:r>
        <w:rPr>
          <w:rFonts w:hint="eastAsia" w:cs="宋体"/>
          <w:kern w:val="0"/>
          <w:sz w:val="24"/>
        </w:rPr>
        <w:t>》</w:t>
      </w:r>
      <w:r>
        <w:rPr>
          <w:rFonts w:hint="eastAsia" w:cs="宋体"/>
          <w:kern w:val="0"/>
          <w:sz w:val="24"/>
          <w:lang w:eastAsia="zh-CN"/>
        </w:rPr>
        <w:t>（</w:t>
      </w:r>
      <w:r>
        <w:rPr>
          <w:rFonts w:hint="eastAsia" w:cs="宋体"/>
          <w:kern w:val="0"/>
          <w:sz w:val="24"/>
          <w:lang w:val="en-US" w:eastAsia="zh-CN"/>
        </w:rPr>
        <w:t>公告编号2023-061）。</w:t>
      </w:r>
    </w:p>
    <w:p>
      <w:pPr>
        <w:spacing w:line="360" w:lineRule="auto"/>
        <w:ind w:firstLine="480" w:firstLineChars="20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>表决结果：同意3票，反对0票，弃权0票。</w:t>
      </w:r>
    </w:p>
    <w:p>
      <w:pPr>
        <w:spacing w:line="360" w:lineRule="auto"/>
        <w:ind w:firstLine="482" w:firstLineChars="200"/>
        <w:rPr>
          <w:rFonts w:hint="eastAsia" w:cs="宋体"/>
          <w:b/>
          <w:kern w:val="0"/>
          <w:sz w:val="24"/>
        </w:rPr>
      </w:pPr>
    </w:p>
    <w:p>
      <w:pPr>
        <w:spacing w:line="360" w:lineRule="auto"/>
        <w:ind w:firstLine="482" w:firstLineChars="200"/>
        <w:rPr>
          <w:rFonts w:hint="eastAsia" w:cs="宋体"/>
          <w:b/>
          <w:kern w:val="0"/>
          <w:sz w:val="24"/>
        </w:rPr>
      </w:pPr>
    </w:p>
    <w:p>
      <w:pPr>
        <w:spacing w:line="360" w:lineRule="auto"/>
        <w:ind w:firstLine="482" w:firstLineChars="200"/>
        <w:rPr>
          <w:rFonts w:hint="eastAsia" w:cs="宋体"/>
          <w:b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三、备查文件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1、山东龙大美食股份有限公司第五届监事会第</w:t>
      </w:r>
      <w:r>
        <w:rPr>
          <w:rFonts w:hint="eastAsia" w:cs="宋体"/>
          <w:kern w:val="0"/>
          <w:sz w:val="24"/>
          <w:lang w:val="en-US" w:eastAsia="zh-CN"/>
        </w:rPr>
        <w:t>十</w:t>
      </w:r>
      <w:r>
        <w:rPr>
          <w:rFonts w:hint="eastAsia" w:cs="宋体"/>
          <w:kern w:val="0"/>
          <w:sz w:val="24"/>
        </w:rPr>
        <w:t>次会议决议。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特此公告。</w:t>
      </w: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</w:p>
    <w:p>
      <w:pPr>
        <w:spacing w:line="360" w:lineRule="auto"/>
        <w:ind w:firstLine="480" w:firstLineChars="200"/>
        <w:rPr>
          <w:rFonts w:hint="eastAsia" w:cs="宋体"/>
          <w:kern w:val="0"/>
          <w:sz w:val="24"/>
        </w:rPr>
      </w:pPr>
    </w:p>
    <w:p>
      <w:pPr>
        <w:spacing w:line="360" w:lineRule="auto"/>
        <w:ind w:left="3209" w:leftChars="1528" w:firstLine="1320" w:firstLineChars="550"/>
        <w:rPr>
          <w:rFonts w:cs="宋体"/>
          <w:kern w:val="0"/>
          <w:sz w:val="24"/>
        </w:rPr>
      </w:pPr>
      <w:r>
        <w:rPr>
          <w:rFonts w:hint="eastAsia" w:cs="宋体"/>
          <w:kern w:val="0"/>
          <w:sz w:val="24"/>
        </w:rPr>
        <w:t xml:space="preserve">  </w:t>
      </w:r>
      <w:r>
        <w:rPr>
          <w:rFonts w:cs="宋体"/>
          <w:kern w:val="0"/>
          <w:sz w:val="24"/>
        </w:rPr>
        <w:t xml:space="preserve"> </w:t>
      </w:r>
      <w:r>
        <w:rPr>
          <w:rFonts w:hint="eastAsia" w:cs="宋体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>
      <w:pPr>
        <w:spacing w:line="360" w:lineRule="auto"/>
        <w:ind w:left="5584" w:leftChars="2659" w:firstLine="600" w:firstLineChars="250"/>
        <w:jc w:val="left"/>
        <w:rPr>
          <w:rFonts w:hint="eastAsia" w:cs="宋体"/>
          <w:kern w:val="0"/>
          <w:sz w:val="24"/>
        </w:rPr>
      </w:pPr>
      <w:r>
        <w:rPr>
          <w:rFonts w:hint="eastAsia" w:cs="宋体"/>
          <w:kern w:val="0"/>
          <w:sz w:val="24"/>
        </w:rPr>
        <w:t>监事会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hint="eastAsia"/>
          <w:kern w:val="0"/>
          <w:sz w:val="24"/>
        </w:rPr>
        <w:t>2023年</w:t>
      </w:r>
      <w:r>
        <w:rPr>
          <w:rFonts w:hint="eastAsia"/>
          <w:kern w:val="0"/>
          <w:sz w:val="24"/>
          <w:lang w:val="en-US" w:eastAsia="zh-CN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  <w:lang w:val="en-US" w:eastAsia="zh-CN"/>
        </w:rPr>
        <w:t>15</w:t>
      </w:r>
      <w:r>
        <w:rPr>
          <w:rFonts w:hint="eastAsia"/>
          <w:kern w:val="0"/>
          <w:sz w:val="24"/>
        </w:rPr>
        <w:t>日</w:t>
      </w:r>
    </w:p>
    <w:sectPr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iti SC Light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楷体_GB2312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